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CE" w:rsidRDefault="00420DCE">
      <w:pPr>
        <w:pStyle w:val="Brdtekst"/>
        <w:rPr>
          <w:rFonts w:ascii="Times New Roman"/>
          <w:sz w:val="20"/>
        </w:rPr>
      </w:pPr>
    </w:p>
    <w:p w:rsidR="00420DCE" w:rsidRDefault="00420DCE">
      <w:pPr>
        <w:pStyle w:val="Brdtekst"/>
        <w:rPr>
          <w:rFonts w:ascii="Times New Roman"/>
          <w:sz w:val="20"/>
        </w:rPr>
      </w:pPr>
    </w:p>
    <w:p w:rsidR="00420DCE" w:rsidRDefault="00420DCE">
      <w:pPr>
        <w:pStyle w:val="Brdtekst"/>
        <w:spacing w:before="6"/>
        <w:rPr>
          <w:rFonts w:ascii="Times New Roman"/>
          <w:sz w:val="26"/>
        </w:rPr>
      </w:pPr>
    </w:p>
    <w:p w:rsidR="00420DCE" w:rsidRDefault="00EE6054">
      <w:pPr>
        <w:spacing w:before="99"/>
        <w:ind w:left="181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Controls in Flow Cytometry</w:t>
      </w:r>
    </w:p>
    <w:p w:rsidR="00420DCE" w:rsidRDefault="00420DCE">
      <w:pPr>
        <w:pStyle w:val="Brdtekst"/>
        <w:spacing w:before="7"/>
        <w:rPr>
          <w:rFonts w:ascii="Calibri"/>
          <w:b/>
          <w:sz w:val="28"/>
        </w:rPr>
      </w:pPr>
    </w:p>
    <w:p w:rsidR="00420DCE" w:rsidRDefault="00EE6054">
      <w:pPr>
        <w:pStyle w:val="Brdtekst"/>
        <w:ind w:left="118" w:right="6936"/>
        <w:rPr>
          <w:rFonts w:ascii="Calibri"/>
        </w:rPr>
      </w:pPr>
      <w:r>
        <w:rPr>
          <w:rFonts w:ascii="Calibri"/>
        </w:rPr>
        <w:t>Written by: Anette Thomsen Date: May 2020</w:t>
      </w:r>
    </w:p>
    <w:p w:rsidR="00420DCE" w:rsidRDefault="00420DCE">
      <w:pPr>
        <w:pStyle w:val="Brdtekst"/>
        <w:spacing w:before="7"/>
        <w:rPr>
          <w:rFonts w:ascii="Calibri"/>
          <w:sz w:val="23"/>
        </w:rPr>
      </w:pPr>
    </w:p>
    <w:p w:rsidR="00420DCE" w:rsidRDefault="00EE6054">
      <w:pPr>
        <w:pStyle w:val="Brdtekst"/>
        <w:ind w:left="118"/>
      </w:pPr>
      <w:r>
        <w:t>It is essential to make controls for your flow cytometry experiment.</w:t>
      </w:r>
    </w:p>
    <w:p w:rsidR="00420DCE" w:rsidRDefault="00EE6054">
      <w:pPr>
        <w:pStyle w:val="Brdtekst"/>
        <w:ind w:left="118"/>
      </w:pPr>
      <w:r>
        <w:t>Depending on the nature of your experiment, there are different controls to prepare:</w:t>
      </w:r>
    </w:p>
    <w:p w:rsidR="00420DCE" w:rsidRDefault="00420DCE">
      <w:pPr>
        <w:pStyle w:val="Brdtekst"/>
        <w:spacing w:before="6"/>
      </w:pPr>
    </w:p>
    <w:p w:rsidR="00420DCE" w:rsidRDefault="00EE6054">
      <w:pPr>
        <w:pStyle w:val="Listeafsnit"/>
        <w:numPr>
          <w:ilvl w:val="0"/>
          <w:numId w:val="3"/>
        </w:numPr>
        <w:tabs>
          <w:tab w:val="left" w:pos="479"/>
        </w:tabs>
        <w:rPr>
          <w:sz w:val="23"/>
        </w:rPr>
      </w:pPr>
      <w:r>
        <w:rPr>
          <w:w w:val="105"/>
          <w:sz w:val="23"/>
        </w:rPr>
        <w:t>Instrument specific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controls</w:t>
      </w:r>
    </w:p>
    <w:p w:rsidR="00420DCE" w:rsidRDefault="00EE6054">
      <w:pPr>
        <w:pStyle w:val="Listeafsnit"/>
        <w:numPr>
          <w:ilvl w:val="1"/>
          <w:numId w:val="3"/>
        </w:numPr>
        <w:tabs>
          <w:tab w:val="left" w:pos="1210"/>
          <w:tab w:val="left" w:pos="1211"/>
        </w:tabs>
        <w:spacing w:before="5"/>
        <w:ind w:left="1198" w:hanging="371"/>
        <w:rPr>
          <w:sz w:val="24"/>
        </w:rPr>
      </w:pPr>
      <w:r>
        <w:rPr>
          <w:sz w:val="24"/>
        </w:rPr>
        <w:t>Make sure the daily quality control has been run (QC or CS&amp;T).</w:t>
      </w:r>
    </w:p>
    <w:p w:rsidR="00420DCE" w:rsidRDefault="00EE6054">
      <w:pPr>
        <w:pStyle w:val="Listeafsnit"/>
        <w:numPr>
          <w:ilvl w:val="1"/>
          <w:numId w:val="3"/>
        </w:numPr>
        <w:tabs>
          <w:tab w:val="left" w:pos="1199"/>
        </w:tabs>
        <w:ind w:left="1198" w:right="284"/>
        <w:rPr>
          <w:sz w:val="24"/>
        </w:rPr>
      </w:pPr>
      <w:r>
        <w:rPr>
          <w:sz w:val="24"/>
        </w:rPr>
        <w:t xml:space="preserve">For longitudinal studies it is wise to run 8-peak beads (e.g. from </w:t>
      </w:r>
      <w:proofErr w:type="spellStart"/>
      <w:r>
        <w:rPr>
          <w:sz w:val="24"/>
        </w:rPr>
        <w:t>Spherotech</w:t>
      </w:r>
      <w:proofErr w:type="spellEnd"/>
      <w:r>
        <w:rPr>
          <w:sz w:val="24"/>
        </w:rPr>
        <w:t xml:space="preserve"> </w:t>
      </w:r>
      <w:r>
        <w:rPr>
          <w:sz w:val="24"/>
        </w:rPr>
        <w:t>(1) or from Biolegend (2)) on each experiment</w:t>
      </w:r>
      <w:r>
        <w:rPr>
          <w:spacing w:val="-6"/>
          <w:sz w:val="24"/>
        </w:rPr>
        <w:t xml:space="preserve"> </w:t>
      </w:r>
      <w:r>
        <w:rPr>
          <w:sz w:val="24"/>
        </w:rPr>
        <w:t>day.</w:t>
      </w:r>
    </w:p>
    <w:p w:rsidR="00420DCE" w:rsidRDefault="00EE6054">
      <w:pPr>
        <w:pStyle w:val="Brdtekst"/>
        <w:ind w:left="1198" w:right="103"/>
      </w:pPr>
      <w:r>
        <w:t>These beads should have the same MFI value (median fluorescence intensity) +/- 5% every day you run samples in the same experiment (gate for example on peak 6 in all the detectors you are using).</w:t>
      </w:r>
    </w:p>
    <w:p w:rsidR="00420DCE" w:rsidRDefault="00420DCE">
      <w:pPr>
        <w:pStyle w:val="Brdtekst"/>
        <w:spacing w:before="5"/>
      </w:pPr>
    </w:p>
    <w:p w:rsidR="00420DCE" w:rsidRDefault="00EE6054">
      <w:pPr>
        <w:pStyle w:val="Listeafsnit"/>
        <w:numPr>
          <w:ilvl w:val="0"/>
          <w:numId w:val="3"/>
        </w:numPr>
        <w:tabs>
          <w:tab w:val="left" w:pos="479"/>
        </w:tabs>
        <w:rPr>
          <w:sz w:val="23"/>
        </w:rPr>
      </w:pPr>
      <w:r>
        <w:rPr>
          <w:w w:val="105"/>
          <w:sz w:val="23"/>
        </w:rPr>
        <w:t>Fluoresc</w:t>
      </w:r>
      <w:r>
        <w:rPr>
          <w:w w:val="105"/>
          <w:sz w:val="23"/>
        </w:rPr>
        <w:t>ence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controls</w:t>
      </w:r>
    </w:p>
    <w:p w:rsidR="00420DCE" w:rsidRDefault="00EE6054">
      <w:pPr>
        <w:pStyle w:val="Listeafsnit"/>
        <w:numPr>
          <w:ilvl w:val="1"/>
          <w:numId w:val="3"/>
        </w:numPr>
        <w:tabs>
          <w:tab w:val="left" w:pos="1252"/>
          <w:tab w:val="left" w:pos="1253"/>
        </w:tabs>
        <w:spacing w:before="5"/>
        <w:ind w:left="1252" w:right="465" w:hanging="425"/>
        <w:rPr>
          <w:sz w:val="24"/>
        </w:rPr>
      </w:pPr>
      <w:r>
        <w:rPr>
          <w:sz w:val="24"/>
        </w:rPr>
        <w:t>Autofluorescence control (unstained cells which have been treated exactly the same way as your stained cells (e.g. same number of washes, centrifugations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fixation).</w:t>
      </w:r>
    </w:p>
    <w:p w:rsidR="00420DCE" w:rsidRDefault="00EE6054">
      <w:pPr>
        <w:pStyle w:val="Listeafsnit"/>
        <w:numPr>
          <w:ilvl w:val="1"/>
          <w:numId w:val="3"/>
        </w:numPr>
        <w:tabs>
          <w:tab w:val="left" w:pos="1252"/>
          <w:tab w:val="left" w:pos="1253"/>
        </w:tabs>
        <w:ind w:left="1252" w:hanging="425"/>
        <w:rPr>
          <w:sz w:val="24"/>
        </w:rPr>
      </w:pPr>
      <w:r>
        <w:rPr>
          <w:sz w:val="24"/>
        </w:rPr>
        <w:t>Single stained compensation controls (3).</w:t>
      </w:r>
    </w:p>
    <w:p w:rsidR="00420DCE" w:rsidRDefault="00420DCE">
      <w:pPr>
        <w:pStyle w:val="Brdtekst"/>
        <w:spacing w:before="6"/>
      </w:pPr>
    </w:p>
    <w:p w:rsidR="00420DCE" w:rsidRDefault="00EE6054">
      <w:pPr>
        <w:pStyle w:val="Listeafsnit"/>
        <w:numPr>
          <w:ilvl w:val="0"/>
          <w:numId w:val="3"/>
        </w:numPr>
        <w:tabs>
          <w:tab w:val="left" w:pos="479"/>
        </w:tabs>
        <w:rPr>
          <w:sz w:val="23"/>
        </w:rPr>
      </w:pPr>
      <w:r>
        <w:rPr>
          <w:w w:val="105"/>
          <w:sz w:val="23"/>
        </w:rPr>
        <w:t>Experimental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controls</w:t>
      </w:r>
    </w:p>
    <w:p w:rsidR="00420DCE" w:rsidRDefault="00420DCE">
      <w:pPr>
        <w:pStyle w:val="Brdtekst"/>
        <w:spacing w:before="11"/>
      </w:pPr>
    </w:p>
    <w:p w:rsidR="00420DCE" w:rsidRDefault="00EE6054">
      <w:pPr>
        <w:pStyle w:val="Listeafsnit"/>
        <w:numPr>
          <w:ilvl w:val="0"/>
          <w:numId w:val="2"/>
        </w:numPr>
        <w:tabs>
          <w:tab w:val="left" w:pos="839"/>
        </w:tabs>
        <w:rPr>
          <w:sz w:val="23"/>
        </w:rPr>
      </w:pPr>
      <w:r>
        <w:rPr>
          <w:w w:val="105"/>
          <w:sz w:val="23"/>
        </w:rPr>
        <w:t>Staining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controls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9" w:line="292" w:lineRule="exact"/>
        <w:ind w:right="248"/>
        <w:rPr>
          <w:sz w:val="24"/>
        </w:rPr>
      </w:pPr>
      <w:r>
        <w:rPr>
          <w:sz w:val="24"/>
        </w:rPr>
        <w:t>Tit</w:t>
      </w:r>
      <w:r>
        <w:rPr>
          <w:sz w:val="24"/>
        </w:rPr>
        <w:t>rate your antibodies, make sure you are using the right amount of antibody. If the concentration is too high there is a risk of unspecific binding and in multi-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panels, you will get higher data spread</w:t>
      </w:r>
      <w:r>
        <w:rPr>
          <w:spacing w:val="-5"/>
          <w:sz w:val="24"/>
        </w:rPr>
        <w:t xml:space="preserve"> </w:t>
      </w:r>
      <w:r>
        <w:rPr>
          <w:sz w:val="24"/>
        </w:rPr>
        <w:t>(4).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5" w:line="292" w:lineRule="exact"/>
        <w:ind w:right="818"/>
        <w:rPr>
          <w:sz w:val="24"/>
        </w:rPr>
      </w:pPr>
      <w:r>
        <w:rPr>
          <w:sz w:val="24"/>
        </w:rPr>
        <w:t>If you work with cells expressing Fc recepto</w:t>
      </w:r>
      <w:r>
        <w:rPr>
          <w:sz w:val="24"/>
        </w:rPr>
        <w:t>rs, block the Fc receptor to avoid non- specific binding of reagents</w:t>
      </w:r>
      <w:r>
        <w:rPr>
          <w:spacing w:val="-4"/>
          <w:sz w:val="24"/>
        </w:rPr>
        <w:t xml:space="preserve"> </w:t>
      </w:r>
      <w:r>
        <w:rPr>
          <w:sz w:val="24"/>
        </w:rPr>
        <w:t>(5)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5" w:line="292" w:lineRule="exact"/>
        <w:ind w:right="348"/>
        <w:rPr>
          <w:sz w:val="24"/>
        </w:rPr>
      </w:pPr>
      <w:r>
        <w:rPr>
          <w:sz w:val="24"/>
        </w:rPr>
        <w:t>If you are using a two-layer antibody staining – it is imp</w:t>
      </w:r>
      <w:bookmarkStart w:id="0" w:name="_GoBack"/>
      <w:bookmarkEnd w:id="0"/>
      <w:r>
        <w:rPr>
          <w:sz w:val="24"/>
        </w:rPr>
        <w:t>ortant to include a control with the secondary antibody</w:t>
      </w:r>
      <w:r>
        <w:rPr>
          <w:spacing w:val="-9"/>
          <w:sz w:val="24"/>
        </w:rPr>
        <w:t xml:space="preserve"> </w:t>
      </w:r>
      <w:r>
        <w:rPr>
          <w:sz w:val="24"/>
        </w:rPr>
        <w:t>only.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3" w:line="237" w:lineRule="auto"/>
        <w:ind w:right="217"/>
        <w:rPr>
          <w:sz w:val="24"/>
        </w:rPr>
      </w:pPr>
      <w:r>
        <w:rPr>
          <w:sz w:val="24"/>
        </w:rPr>
        <w:t>Fluorescence minus one (FMO) controls (6). In the FMO control, all antibody conjugates in the experiment are included except the one that is controlled for. The FMO control provides a measure of the spread of fluorescence from the other staining parameters</w:t>
      </w:r>
      <w:r>
        <w:rPr>
          <w:sz w:val="24"/>
        </w:rPr>
        <w:t xml:space="preserve"> into the channel of interest, and may be useful to determine the threshold for positive staining.</w:t>
      </w:r>
    </w:p>
    <w:p w:rsidR="00420DCE" w:rsidRDefault="00EE6054">
      <w:pPr>
        <w:pStyle w:val="Brdtekst"/>
        <w:ind w:left="1198"/>
      </w:pPr>
      <w:r>
        <w:t>This control can both be used for validating the compensation matrix (3).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8" w:line="292" w:lineRule="exact"/>
        <w:ind w:right="110"/>
        <w:rPr>
          <w:sz w:val="24"/>
        </w:rPr>
      </w:pPr>
      <w:r>
        <w:rPr>
          <w:sz w:val="24"/>
        </w:rPr>
        <w:t xml:space="preserve">Isotype controls. Be careful with these. They are </w:t>
      </w:r>
      <w:r>
        <w:rPr>
          <w:sz w:val="24"/>
          <w:u w:val="single"/>
        </w:rPr>
        <w:t xml:space="preserve">not </w:t>
      </w:r>
      <w:r>
        <w:rPr>
          <w:sz w:val="24"/>
        </w:rPr>
        <w:t xml:space="preserve">recommended as gating controls, but some reviewers still want them. However, be aware they should be used in the same antibody concentration and have the same </w:t>
      </w:r>
      <w:proofErr w:type="spellStart"/>
      <w:r>
        <w:rPr>
          <w:sz w:val="24"/>
        </w:rPr>
        <w:t>fluorophore:protein</w:t>
      </w:r>
      <w:proofErr w:type="spellEnd"/>
      <w:r>
        <w:rPr>
          <w:sz w:val="24"/>
        </w:rPr>
        <w:t xml:space="preserve"> ratio as your antibody </w:t>
      </w:r>
      <w:r>
        <w:rPr>
          <w:sz w:val="24"/>
        </w:rPr>
        <w:t>which is difficult to control/be sure of unless you use large fluorochromes such as PE or APC. We are not recommending use of isotype</w:t>
      </w:r>
      <w:r>
        <w:rPr>
          <w:spacing w:val="-1"/>
          <w:sz w:val="24"/>
        </w:rPr>
        <w:t xml:space="preserve"> </w:t>
      </w:r>
      <w:r>
        <w:rPr>
          <w:sz w:val="24"/>
        </w:rPr>
        <w:t>controls.</w:t>
      </w:r>
    </w:p>
    <w:p w:rsidR="00420DCE" w:rsidRDefault="00420DCE">
      <w:pPr>
        <w:spacing w:line="292" w:lineRule="exact"/>
        <w:rPr>
          <w:sz w:val="24"/>
        </w:rPr>
        <w:sectPr w:rsidR="00420DCE">
          <w:headerReference w:type="default" r:id="rId7"/>
          <w:footerReference w:type="default" r:id="rId8"/>
          <w:type w:val="continuous"/>
          <w:pgSz w:w="11900" w:h="16840"/>
          <w:pgMar w:top="1720" w:right="1020" w:bottom="980" w:left="1020" w:header="732" w:footer="793" w:gutter="0"/>
          <w:cols w:space="708"/>
        </w:sectPr>
      </w:pPr>
    </w:p>
    <w:p w:rsidR="00420DCE" w:rsidRDefault="00420DCE">
      <w:pPr>
        <w:pStyle w:val="Brdtekst"/>
        <w:rPr>
          <w:sz w:val="20"/>
        </w:rPr>
      </w:pPr>
    </w:p>
    <w:p w:rsidR="00420DCE" w:rsidRDefault="00420DCE">
      <w:pPr>
        <w:pStyle w:val="Brdtekst"/>
        <w:spacing w:before="2"/>
        <w:rPr>
          <w:sz w:val="15"/>
        </w:rPr>
      </w:pP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08" w:line="292" w:lineRule="exact"/>
        <w:ind w:right="399"/>
        <w:rPr>
          <w:sz w:val="24"/>
        </w:rPr>
      </w:pPr>
      <w:r>
        <w:rPr>
          <w:sz w:val="24"/>
        </w:rPr>
        <w:t xml:space="preserve">Day to day controls are appropriate for longitudinal studies. Each day of analysis you stain a sample from a big batch of control cells the same way as you stain your test- samples. With a day-day control you can monitor assay performance and variability. </w:t>
      </w:r>
      <w:r>
        <w:rPr>
          <w:sz w:val="24"/>
        </w:rPr>
        <w:t>If you forgot to add an antibody to your samples, it will be</w:t>
      </w:r>
      <w:r>
        <w:rPr>
          <w:spacing w:val="-6"/>
          <w:sz w:val="24"/>
        </w:rPr>
        <w:t xml:space="preserve"> </w:t>
      </w:r>
      <w:r>
        <w:rPr>
          <w:sz w:val="24"/>
        </w:rPr>
        <w:t>revealed.</w:t>
      </w:r>
    </w:p>
    <w:p w:rsidR="00420DCE" w:rsidRDefault="00EE6054">
      <w:pPr>
        <w:pStyle w:val="Brdtekst"/>
        <w:spacing w:before="1"/>
        <w:ind w:left="1198" w:right="110"/>
      </w:pPr>
      <w:r>
        <w:t>The control samples can be MNC’s you have aliquoted and frozen or you can buy control cells.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3" w:line="292" w:lineRule="exact"/>
        <w:ind w:right="247"/>
        <w:rPr>
          <w:sz w:val="24"/>
        </w:rPr>
      </w:pPr>
      <w:r>
        <w:rPr>
          <w:sz w:val="24"/>
        </w:rPr>
        <w:t xml:space="preserve">If in doubt, whether your antibody binds specifically, an </w:t>
      </w:r>
      <w:proofErr w:type="spellStart"/>
      <w:r>
        <w:rPr>
          <w:sz w:val="24"/>
        </w:rPr>
        <w:t>isoclonic</w:t>
      </w:r>
      <w:proofErr w:type="spellEnd"/>
      <w:r>
        <w:rPr>
          <w:sz w:val="24"/>
        </w:rPr>
        <w:t xml:space="preserve"> control could be a good </w:t>
      </w:r>
      <w:r>
        <w:rPr>
          <w:sz w:val="24"/>
        </w:rPr>
        <w:t xml:space="preserve">control. An </w:t>
      </w:r>
      <w:proofErr w:type="spellStart"/>
      <w:r>
        <w:rPr>
          <w:sz w:val="24"/>
        </w:rPr>
        <w:t>isoclonic</w:t>
      </w:r>
      <w:proofErr w:type="spellEnd"/>
      <w:r>
        <w:rPr>
          <w:sz w:val="24"/>
        </w:rPr>
        <w:t xml:space="preserve"> control is an antibody with the same specificity and clone as the conjugated antibody you are using, just un-conjugated – this un-conjugated version of your antibody should be able to outmatch the conjugated version.</w:t>
      </w:r>
    </w:p>
    <w:p w:rsidR="00420DCE" w:rsidRDefault="00420DCE">
      <w:pPr>
        <w:pStyle w:val="Brdtekst"/>
        <w:rPr>
          <w:sz w:val="28"/>
        </w:rPr>
      </w:pPr>
    </w:p>
    <w:p w:rsidR="00420DCE" w:rsidRDefault="00EE6054">
      <w:pPr>
        <w:pStyle w:val="Listeafsnit"/>
        <w:numPr>
          <w:ilvl w:val="0"/>
          <w:numId w:val="2"/>
        </w:numPr>
        <w:tabs>
          <w:tab w:val="left" w:pos="839"/>
        </w:tabs>
        <w:spacing w:before="251"/>
        <w:rPr>
          <w:sz w:val="23"/>
        </w:rPr>
      </w:pPr>
      <w:r>
        <w:rPr>
          <w:w w:val="105"/>
          <w:sz w:val="23"/>
        </w:rPr>
        <w:t>Biological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controls</w:t>
      </w:r>
    </w:p>
    <w:p w:rsidR="00420DCE" w:rsidRDefault="00420DCE">
      <w:pPr>
        <w:pStyle w:val="Brdtekst"/>
        <w:spacing w:before="11"/>
      </w:pPr>
    </w:p>
    <w:p w:rsidR="00420DCE" w:rsidRDefault="00EE6054">
      <w:pPr>
        <w:ind w:left="838"/>
        <w:rPr>
          <w:sz w:val="23"/>
        </w:rPr>
      </w:pPr>
      <w:r>
        <w:rPr>
          <w:w w:val="105"/>
          <w:sz w:val="23"/>
        </w:rPr>
        <w:t>For transfected or transduced cells: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9" w:line="292" w:lineRule="exact"/>
        <w:ind w:right="258"/>
        <w:rPr>
          <w:sz w:val="24"/>
        </w:rPr>
      </w:pPr>
      <w:r>
        <w:rPr>
          <w:sz w:val="24"/>
        </w:rPr>
        <w:t>The best control to bring is mock transfected/transduced cells of the same type as your cells to be</w:t>
      </w:r>
      <w:r>
        <w:rPr>
          <w:spacing w:val="-5"/>
          <w:sz w:val="24"/>
        </w:rPr>
        <w:t xml:space="preserve"> </w:t>
      </w:r>
      <w:r w:rsidR="00825930">
        <w:rPr>
          <w:sz w:val="24"/>
        </w:rPr>
        <w:t>analyzed</w:t>
      </w:r>
      <w:r>
        <w:rPr>
          <w:sz w:val="24"/>
        </w:rPr>
        <w:t>.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1"/>
        <w:rPr>
          <w:sz w:val="24"/>
        </w:rPr>
      </w:pPr>
      <w:r>
        <w:rPr>
          <w:sz w:val="24"/>
        </w:rPr>
        <w:t>If possible, a clear positive</w:t>
      </w:r>
      <w:r>
        <w:rPr>
          <w:spacing w:val="-13"/>
          <w:sz w:val="24"/>
        </w:rPr>
        <w:t xml:space="preserve"> </w:t>
      </w:r>
      <w:r>
        <w:rPr>
          <w:sz w:val="24"/>
        </w:rPr>
        <w:t>control.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2" w:line="292" w:lineRule="exact"/>
        <w:ind w:right="208"/>
        <w:rPr>
          <w:sz w:val="24"/>
        </w:rPr>
      </w:pPr>
      <w:r>
        <w:rPr>
          <w:sz w:val="24"/>
        </w:rPr>
        <w:t>If you can’t provide a mock transfected/transduced cell line</w:t>
      </w:r>
      <w:r>
        <w:rPr>
          <w:sz w:val="24"/>
        </w:rPr>
        <w:t>, negative cells will be accepted but is not optimal, since the autofluorescence of the cells often change during transfection/transduction.</w:t>
      </w:r>
    </w:p>
    <w:p w:rsidR="00420DCE" w:rsidRDefault="00420DCE">
      <w:pPr>
        <w:pStyle w:val="Brdtekst"/>
        <w:spacing w:before="7"/>
      </w:pPr>
    </w:p>
    <w:p w:rsidR="00420DCE" w:rsidRDefault="00EE6054">
      <w:pPr>
        <w:ind w:left="838"/>
        <w:rPr>
          <w:sz w:val="23"/>
        </w:rPr>
      </w:pPr>
      <w:r>
        <w:rPr>
          <w:w w:val="105"/>
          <w:sz w:val="23"/>
        </w:rPr>
        <w:t>For activated/stimulated cells: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9"/>
        <w:rPr>
          <w:sz w:val="24"/>
        </w:rPr>
      </w:pPr>
      <w:r>
        <w:rPr>
          <w:sz w:val="24"/>
        </w:rPr>
        <w:t>Unstimulated cells, both unstained and fully stained</w:t>
      </w:r>
      <w:r>
        <w:rPr>
          <w:spacing w:val="-10"/>
          <w:sz w:val="24"/>
        </w:rPr>
        <w:t xml:space="preserve"> </w:t>
      </w:r>
      <w:r>
        <w:rPr>
          <w:sz w:val="24"/>
        </w:rPr>
        <w:t>cells.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before="1" w:line="304" w:lineRule="exact"/>
        <w:rPr>
          <w:sz w:val="24"/>
        </w:rPr>
      </w:pPr>
      <w:r>
        <w:rPr>
          <w:sz w:val="24"/>
        </w:rPr>
        <w:t>Stimulated, but unstained cells</w:t>
      </w:r>
    </w:p>
    <w:p w:rsidR="00420DCE" w:rsidRDefault="00EE6054">
      <w:pPr>
        <w:pStyle w:val="Listeafsnit"/>
        <w:numPr>
          <w:ilvl w:val="1"/>
          <w:numId w:val="2"/>
        </w:numPr>
        <w:tabs>
          <w:tab w:val="left" w:pos="1198"/>
          <w:tab w:val="left" w:pos="1199"/>
        </w:tabs>
        <w:spacing w:line="304" w:lineRule="exact"/>
        <w:rPr>
          <w:sz w:val="24"/>
        </w:rPr>
      </w:pPr>
      <w:r>
        <w:rPr>
          <w:sz w:val="24"/>
        </w:rPr>
        <w:t>If possible, a positive control for stimulation</w:t>
      </w:r>
    </w:p>
    <w:p w:rsidR="00420DCE" w:rsidRDefault="00420DCE">
      <w:pPr>
        <w:spacing w:line="304" w:lineRule="exact"/>
        <w:rPr>
          <w:sz w:val="24"/>
        </w:rPr>
        <w:sectPr w:rsidR="00420DCE">
          <w:pgSz w:w="11900" w:h="16840"/>
          <w:pgMar w:top="1720" w:right="1020" w:bottom="980" w:left="1020" w:header="732" w:footer="793" w:gutter="0"/>
          <w:cols w:space="708"/>
        </w:sectPr>
      </w:pPr>
    </w:p>
    <w:p w:rsidR="00420DCE" w:rsidRDefault="00420DCE">
      <w:pPr>
        <w:pStyle w:val="Brdtekst"/>
        <w:rPr>
          <w:sz w:val="20"/>
        </w:rPr>
      </w:pPr>
    </w:p>
    <w:p w:rsidR="00420DCE" w:rsidRDefault="00420DCE">
      <w:pPr>
        <w:pStyle w:val="Brdtekst"/>
        <w:rPr>
          <w:sz w:val="15"/>
        </w:rPr>
      </w:pPr>
    </w:p>
    <w:p w:rsidR="00420DCE" w:rsidRDefault="00EE6054">
      <w:pPr>
        <w:pStyle w:val="Overskrift1"/>
        <w:numPr>
          <w:ilvl w:val="0"/>
          <w:numId w:val="3"/>
        </w:numPr>
        <w:tabs>
          <w:tab w:val="left" w:pos="469"/>
        </w:tabs>
        <w:spacing w:before="100"/>
        <w:ind w:left="468" w:hanging="350"/>
      </w:pPr>
      <w:r>
        <w:t>Data analysis</w:t>
      </w:r>
      <w:r>
        <w:rPr>
          <w:spacing w:val="-15"/>
        </w:rPr>
        <w:t xml:space="preserve"> </w:t>
      </w:r>
      <w:r>
        <w:t>controls</w:t>
      </w:r>
    </w:p>
    <w:p w:rsidR="00420DCE" w:rsidRDefault="00EE6054">
      <w:pPr>
        <w:pStyle w:val="Brdtekst"/>
        <w:ind w:left="838"/>
        <w:rPr>
          <w:rFonts w:ascii="Calibri"/>
        </w:rPr>
      </w:pPr>
      <w:r>
        <w:rPr>
          <w:rFonts w:ascii="Calibri"/>
        </w:rPr>
        <w:t>Initial steps in your data analysis should include the following:</w:t>
      </w:r>
    </w:p>
    <w:p w:rsidR="00420DCE" w:rsidRDefault="00EE6054">
      <w:pPr>
        <w:pStyle w:val="Listeafsnit"/>
        <w:numPr>
          <w:ilvl w:val="1"/>
          <w:numId w:val="3"/>
        </w:numPr>
        <w:tabs>
          <w:tab w:val="left" w:pos="1559"/>
        </w:tabs>
        <w:ind w:right="637"/>
        <w:rPr>
          <w:rFonts w:ascii="Calibri"/>
          <w:sz w:val="24"/>
        </w:rPr>
      </w:pPr>
      <w:r>
        <w:rPr>
          <w:rFonts w:ascii="Calibri"/>
          <w:sz w:val="24"/>
        </w:rPr>
        <w:t>Look at</w:t>
      </w:r>
      <w:r>
        <w:rPr>
          <w:rFonts w:ascii="Calibri"/>
          <w:sz w:val="24"/>
        </w:rPr>
        <w:t xml:space="preserve"> time in a dotplot to verify data have been acquired consistently (stable acquisition over time). In some software programs there are tools like </w:t>
      </w:r>
      <w:proofErr w:type="spellStart"/>
      <w:r>
        <w:rPr>
          <w:rFonts w:ascii="Calibri"/>
          <w:sz w:val="24"/>
        </w:rPr>
        <w:t>FlowAI</w:t>
      </w:r>
      <w:proofErr w:type="spellEnd"/>
      <w:r>
        <w:rPr>
          <w:rFonts w:ascii="Calibri"/>
          <w:sz w:val="24"/>
        </w:rPr>
        <w:t xml:space="preserve">, </w:t>
      </w:r>
      <w:proofErr w:type="spellStart"/>
      <w:r>
        <w:rPr>
          <w:rFonts w:ascii="Calibri"/>
          <w:sz w:val="24"/>
        </w:rPr>
        <w:t>FlowClean</w:t>
      </w:r>
      <w:proofErr w:type="spellEnd"/>
      <w:r>
        <w:rPr>
          <w:rFonts w:ascii="Calibri"/>
          <w:sz w:val="24"/>
        </w:rPr>
        <w:t xml:space="preserve"> or </w:t>
      </w:r>
      <w:proofErr w:type="spellStart"/>
      <w:r>
        <w:rPr>
          <w:rFonts w:ascii="Calibri"/>
          <w:sz w:val="24"/>
        </w:rPr>
        <w:t>FlowCut</w:t>
      </w:r>
      <w:proofErr w:type="spellEnd"/>
      <w:r>
        <w:rPr>
          <w:rFonts w:ascii="Calibri"/>
          <w:sz w:val="24"/>
        </w:rPr>
        <w:t xml:space="preserve"> to automatically clean 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data.</w:t>
      </w:r>
    </w:p>
    <w:p w:rsidR="00420DCE" w:rsidRDefault="00EE6054">
      <w:pPr>
        <w:pStyle w:val="Brdtekst"/>
        <w:spacing w:before="2"/>
        <w:rPr>
          <w:rFonts w:ascii="Calibri"/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2097628</wp:posOffset>
            </wp:positionH>
            <wp:positionV relativeFrom="paragraph">
              <wp:posOffset>196961</wp:posOffset>
            </wp:positionV>
            <wp:extent cx="3460357" cy="187175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357" cy="1871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0DCE" w:rsidRDefault="00420DCE">
      <w:pPr>
        <w:pStyle w:val="Brdtekst"/>
        <w:spacing w:before="3"/>
        <w:rPr>
          <w:rFonts w:ascii="Calibri"/>
          <w:sz w:val="21"/>
        </w:rPr>
      </w:pPr>
    </w:p>
    <w:p w:rsidR="00420DCE" w:rsidRDefault="00EE6054">
      <w:pPr>
        <w:pStyle w:val="Listeafsnit"/>
        <w:numPr>
          <w:ilvl w:val="1"/>
          <w:numId w:val="3"/>
        </w:numPr>
        <w:tabs>
          <w:tab w:val="left" w:pos="1559"/>
        </w:tabs>
        <w:ind w:right="20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Remove doublets, to be sure you are looking at</w:t>
      </w:r>
      <w:r>
        <w:rPr>
          <w:rFonts w:ascii="Calibri" w:hAnsi="Calibri"/>
          <w:sz w:val="24"/>
        </w:rPr>
        <w:t xml:space="preserve"> single cells – flow cytometry is a single cell technique. It has been shown that traditional doublet exclusion is not always enough, and you may need an extra marker to avoid immune complexes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(7)</w:t>
      </w:r>
    </w:p>
    <w:p w:rsidR="00420DCE" w:rsidRDefault="00EE6054">
      <w:pPr>
        <w:pStyle w:val="Listeafsnit"/>
        <w:numPr>
          <w:ilvl w:val="1"/>
          <w:numId w:val="3"/>
        </w:numPr>
        <w:tabs>
          <w:tab w:val="left" w:pos="1559"/>
        </w:tabs>
        <w:rPr>
          <w:rFonts w:ascii="Calibri"/>
          <w:sz w:val="24"/>
        </w:rPr>
      </w:pPr>
      <w:r>
        <w:rPr>
          <w:rFonts w:ascii="Calibri"/>
          <w:sz w:val="24"/>
        </w:rPr>
        <w:t>Remove dead cells. Dead cells have a tendency to bind antibodies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un-specific.</w:t>
      </w:r>
    </w:p>
    <w:p w:rsidR="00420DCE" w:rsidRDefault="00EE6054">
      <w:pPr>
        <w:pStyle w:val="Listeafsnit"/>
        <w:numPr>
          <w:ilvl w:val="1"/>
          <w:numId w:val="3"/>
        </w:numPr>
        <w:tabs>
          <w:tab w:val="left" w:pos="155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Remove debris – or better gate on a positive marker (e.g. CD45 for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leucocytes)</w:t>
      </w:r>
    </w:p>
    <w:p w:rsidR="00420DCE" w:rsidRDefault="00420DCE">
      <w:pPr>
        <w:pStyle w:val="Brdtekst"/>
        <w:rPr>
          <w:rFonts w:ascii="Calibri"/>
          <w:sz w:val="28"/>
        </w:rPr>
      </w:pPr>
    </w:p>
    <w:p w:rsidR="00420DCE" w:rsidRDefault="00420DCE">
      <w:pPr>
        <w:pStyle w:val="Brdtekst"/>
        <w:rPr>
          <w:rFonts w:ascii="Calibri"/>
          <w:sz w:val="28"/>
        </w:rPr>
      </w:pPr>
    </w:p>
    <w:p w:rsidR="00420DCE" w:rsidRDefault="00420DCE">
      <w:pPr>
        <w:pStyle w:val="Brdtekst"/>
        <w:spacing w:before="11"/>
        <w:rPr>
          <w:rFonts w:ascii="Calibri"/>
          <w:sz w:val="39"/>
        </w:rPr>
      </w:pPr>
    </w:p>
    <w:p w:rsidR="00420DCE" w:rsidRDefault="00EE6054">
      <w:pPr>
        <w:pStyle w:val="Brdtekst"/>
        <w:ind w:left="118"/>
      </w:pPr>
      <w:r>
        <w:t>References:</w:t>
      </w:r>
    </w:p>
    <w:p w:rsidR="00420DCE" w:rsidRDefault="00EE6054">
      <w:pPr>
        <w:pStyle w:val="Listeafsnit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color w:val="0563C1"/>
          <w:sz w:val="24"/>
          <w:u w:val="single" w:color="0563C1"/>
        </w:rPr>
        <w:t>https://</w:t>
      </w:r>
      <w:hyperlink r:id="rId10">
        <w:r>
          <w:rPr>
            <w:color w:val="0563C1"/>
            <w:sz w:val="24"/>
            <w:u w:val="single" w:color="0563C1"/>
          </w:rPr>
          <w:t>www.spherotech.com/CalibrationParticles.htm</w:t>
        </w:r>
      </w:hyperlink>
    </w:p>
    <w:p w:rsidR="00420DCE" w:rsidRDefault="00EE6054">
      <w:pPr>
        <w:pStyle w:val="Listeafsnit"/>
        <w:numPr>
          <w:ilvl w:val="0"/>
          <w:numId w:val="1"/>
        </w:numPr>
        <w:tabs>
          <w:tab w:val="left" w:pos="839"/>
        </w:tabs>
        <w:ind w:right="109"/>
        <w:rPr>
          <w:sz w:val="24"/>
        </w:rPr>
      </w:pPr>
      <w:r>
        <w:rPr>
          <w:color w:val="0563C1"/>
          <w:spacing w:val="-1"/>
          <w:sz w:val="24"/>
          <w:u w:val="single" w:color="0563C1"/>
        </w:rPr>
        <w:t>https://</w:t>
      </w:r>
      <w:hyperlink r:id="rId11">
        <w:r>
          <w:rPr>
            <w:color w:val="0563C1"/>
            <w:spacing w:val="-1"/>
            <w:sz w:val="24"/>
            <w:u w:val="single" w:color="0563C1"/>
          </w:rPr>
          <w:t>www.biolegend.com/en-us/produ</w:t>
        </w:r>
        <w:r>
          <w:rPr>
            <w:color w:val="0563C1"/>
            <w:spacing w:val="-1"/>
            <w:sz w:val="24"/>
            <w:u w:val="single" w:color="0563C1"/>
          </w:rPr>
          <w:t xml:space="preserve">cts/rainbow-calibration-particles--8-peaks-3-0-3-4- </w:t>
        </w:r>
      </w:hyperlink>
      <w:r>
        <w:rPr>
          <w:color w:val="0563C1"/>
          <w:sz w:val="24"/>
          <w:u w:val="single" w:color="0563C1"/>
        </w:rPr>
        <w:t>m-8111</w:t>
      </w:r>
    </w:p>
    <w:p w:rsidR="00420DCE" w:rsidRDefault="00CB750B">
      <w:pPr>
        <w:pStyle w:val="Listeafsnit"/>
        <w:numPr>
          <w:ilvl w:val="0"/>
          <w:numId w:val="1"/>
        </w:numPr>
        <w:tabs>
          <w:tab w:val="left" w:pos="839"/>
        </w:tabs>
        <w:rPr>
          <w:sz w:val="24"/>
        </w:rPr>
      </w:pPr>
      <w:hyperlink r:id="rId12" w:history="1">
        <w:r w:rsidR="00EE6054" w:rsidRPr="00CB750B">
          <w:rPr>
            <w:rStyle w:val="Hyperlink"/>
            <w:sz w:val="24"/>
          </w:rPr>
          <w:t>FACS Core Facility Guidelines, Compensation in Flow</w:t>
        </w:r>
        <w:r w:rsidR="00EE6054" w:rsidRPr="00CB750B">
          <w:rPr>
            <w:rStyle w:val="Hyperlink"/>
            <w:spacing w:val="-1"/>
            <w:sz w:val="24"/>
          </w:rPr>
          <w:t xml:space="preserve"> </w:t>
        </w:r>
        <w:r w:rsidR="00EE6054" w:rsidRPr="00CB750B">
          <w:rPr>
            <w:rStyle w:val="Hyperlink"/>
            <w:sz w:val="24"/>
          </w:rPr>
          <w:t>Cytometry</w:t>
        </w:r>
      </w:hyperlink>
    </w:p>
    <w:p w:rsidR="00420DCE" w:rsidRDefault="00CB750B">
      <w:pPr>
        <w:pStyle w:val="Listeafsnit"/>
        <w:numPr>
          <w:ilvl w:val="0"/>
          <w:numId w:val="1"/>
        </w:numPr>
        <w:tabs>
          <w:tab w:val="left" w:pos="839"/>
        </w:tabs>
        <w:rPr>
          <w:sz w:val="24"/>
        </w:rPr>
      </w:pPr>
      <w:hyperlink r:id="rId13" w:history="1">
        <w:r w:rsidR="00EE6054" w:rsidRPr="00CB750B">
          <w:rPr>
            <w:rStyle w:val="Hyperlink"/>
            <w:sz w:val="24"/>
          </w:rPr>
          <w:t>FACS Core Facility Guidelines, Titration in Flow Cytometry</w:t>
        </w:r>
      </w:hyperlink>
    </w:p>
    <w:p w:rsidR="00420DCE" w:rsidRDefault="00EE6054">
      <w:pPr>
        <w:pStyle w:val="Listeafsnit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color w:val="0563C1"/>
          <w:sz w:val="24"/>
          <w:u w:val="single" w:color="0563C1"/>
        </w:rPr>
        <w:t>https://</w:t>
      </w:r>
      <w:hyperlink r:id="rId14">
        <w:r>
          <w:rPr>
            <w:color w:val="0563C1"/>
            <w:sz w:val="24"/>
            <w:u w:val="single" w:color="0563C1"/>
          </w:rPr>
          <w:t>www.n</w:t>
        </w:r>
        <w:r>
          <w:rPr>
            <w:color w:val="0563C1"/>
            <w:sz w:val="24"/>
            <w:u w:val="single" w:color="0563C1"/>
          </w:rPr>
          <w:t>cbi.nlm.nih.gov/pubmed/27731950</w:t>
        </w:r>
      </w:hyperlink>
    </w:p>
    <w:p w:rsidR="00420DCE" w:rsidRDefault="00EE6054">
      <w:pPr>
        <w:pStyle w:val="Listeafsnit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color w:val="0563C1"/>
          <w:sz w:val="24"/>
          <w:u w:val="single" w:color="0563C1"/>
        </w:rPr>
        <w:t>https://currentprotocols.onlinelibrary.wiley.com/doi/full/10.1002/0471142956.cy0114s22</w:t>
      </w:r>
    </w:p>
    <w:p w:rsidR="00420DCE" w:rsidRDefault="00EE6054">
      <w:pPr>
        <w:pStyle w:val="Listeafsnit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color w:val="0563C1"/>
          <w:sz w:val="24"/>
          <w:u w:val="single" w:color="0563C1"/>
        </w:rPr>
        <w:t>https://</w:t>
      </w:r>
      <w:hyperlink r:id="rId15">
        <w:r>
          <w:rPr>
            <w:color w:val="0563C1"/>
            <w:sz w:val="24"/>
            <w:u w:val="single" w:color="0563C1"/>
          </w:rPr>
          <w:t>www.ncbi.nlm.nih.gov/pubmed/31237234</w:t>
        </w:r>
      </w:hyperlink>
    </w:p>
    <w:sectPr w:rsidR="00420DCE">
      <w:pgSz w:w="11900" w:h="16840"/>
      <w:pgMar w:top="1720" w:right="1020" w:bottom="980" w:left="1020" w:header="732" w:footer="7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054" w:rsidRDefault="00EE6054">
      <w:r>
        <w:separator/>
      </w:r>
    </w:p>
  </w:endnote>
  <w:endnote w:type="continuationSeparator" w:id="0">
    <w:p w:rsidR="00EE6054" w:rsidRDefault="00EE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20B0604020202020204"/>
    <w:charset w:val="00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CE" w:rsidRDefault="00EE6054">
    <w:pPr>
      <w:pStyle w:val="Brdteks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441.75pt;margin-top:791.1pt;width:97.3pt;height:26.85pt;z-index:-4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20DCE" w:rsidRDefault="00C84CB4">
                <w:pPr>
                  <w:pStyle w:val="Brdtekst"/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Revised July 2021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55.9pt;margin-top:791.35pt;width:109.6pt;height:16.65pt;z-index:-4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20DCE" w:rsidRDefault="00EE6054">
                <w:pPr>
                  <w:pStyle w:val="Brdtekst"/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The FACS Core Facility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250.25pt;margin-top:791.35pt;width:95.25pt;height:16.65pt;z-index:-40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20DCE" w:rsidRDefault="00EE6054">
                <w:pPr>
                  <w:pStyle w:val="Brdtekst"/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Important Controls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054" w:rsidRDefault="00EE6054">
      <w:r>
        <w:separator/>
      </w:r>
    </w:p>
  </w:footnote>
  <w:footnote w:type="continuationSeparator" w:id="0">
    <w:p w:rsidR="00EE6054" w:rsidRDefault="00EE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CE" w:rsidRDefault="00EE6054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287" behindDoc="1" locked="0" layoutInCell="1" allowOverlap="1">
          <wp:simplePos x="0" y="0"/>
          <wp:positionH relativeFrom="page">
            <wp:posOffset>735329</wp:posOffset>
          </wp:positionH>
          <wp:positionV relativeFrom="page">
            <wp:posOffset>464819</wp:posOffset>
          </wp:positionV>
          <wp:extent cx="1438909" cy="6012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8909" cy="60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393.65pt;margin-top:70.65pt;width:145.9pt;height:16.65pt;z-index:-4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420DCE" w:rsidRDefault="00EE6054">
                <w:pPr>
                  <w:spacing w:before="20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E3B85"/>
                    <w:sz w:val="24"/>
                  </w:rPr>
                  <w:t>FACS Core Facility Guidelines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51A"/>
    <w:multiLevelType w:val="hybridMultilevel"/>
    <w:tmpl w:val="6E2E4472"/>
    <w:lvl w:ilvl="0" w:tplc="2E32B3E2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w w:val="104"/>
      </w:rPr>
    </w:lvl>
    <w:lvl w:ilvl="1" w:tplc="7BD87448">
      <w:start w:val="1"/>
      <w:numFmt w:val="lowerLetter"/>
      <w:lvlText w:val="%2."/>
      <w:lvlJc w:val="left"/>
      <w:pPr>
        <w:ind w:left="1558" w:hanging="360"/>
        <w:jc w:val="left"/>
      </w:pPr>
      <w:rPr>
        <w:rFonts w:hint="default"/>
        <w:spacing w:val="-1"/>
        <w:w w:val="100"/>
      </w:rPr>
    </w:lvl>
    <w:lvl w:ilvl="2" w:tplc="63EE0592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024EBE30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B734C548">
      <w:numFmt w:val="bullet"/>
      <w:lvlText w:val="•"/>
      <w:lvlJc w:val="left"/>
      <w:pPr>
        <w:ind w:left="2745" w:hanging="360"/>
      </w:pPr>
      <w:rPr>
        <w:rFonts w:hint="default"/>
      </w:rPr>
    </w:lvl>
    <w:lvl w:ilvl="5" w:tplc="E416C45E">
      <w:numFmt w:val="bullet"/>
      <w:lvlText w:val="•"/>
      <w:lvlJc w:val="left"/>
      <w:pPr>
        <w:ind w:left="3931" w:hanging="360"/>
      </w:pPr>
      <w:rPr>
        <w:rFonts w:hint="default"/>
      </w:rPr>
    </w:lvl>
    <w:lvl w:ilvl="6" w:tplc="CD54B542"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228CBD5C"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0E16D606"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1" w15:restartNumberingAfterBreak="0">
    <w:nsid w:val="38333ACB"/>
    <w:multiLevelType w:val="hybridMultilevel"/>
    <w:tmpl w:val="5896D986"/>
    <w:lvl w:ilvl="0" w:tplc="8E98C9E4">
      <w:start w:val="1"/>
      <w:numFmt w:val="lowerLetter"/>
      <w:lvlText w:val="%1)"/>
      <w:lvlJc w:val="left"/>
      <w:pPr>
        <w:ind w:left="838" w:hanging="360"/>
        <w:jc w:val="left"/>
      </w:pPr>
      <w:rPr>
        <w:rFonts w:ascii="Calibri-Light" w:eastAsia="Calibri-Light" w:hAnsi="Calibri-Light" w:cs="Calibri-Light" w:hint="default"/>
        <w:w w:val="104"/>
        <w:sz w:val="23"/>
        <w:szCs w:val="23"/>
      </w:rPr>
    </w:lvl>
    <w:lvl w:ilvl="1" w:tplc="B220EABE">
      <w:numFmt w:val="bullet"/>
      <w:lvlText w:val="•"/>
      <w:lvlJc w:val="left"/>
      <w:pPr>
        <w:ind w:left="1198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2" w:tplc="0C429768"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1A2A13DA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D92CF510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0F847DCE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DA105190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5176A0FC"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95B0024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2" w15:restartNumberingAfterBreak="0">
    <w:nsid w:val="70483B83"/>
    <w:multiLevelType w:val="hybridMultilevel"/>
    <w:tmpl w:val="AC54C294"/>
    <w:lvl w:ilvl="0" w:tplc="38B62ED8">
      <w:start w:val="1"/>
      <w:numFmt w:val="decimal"/>
      <w:lvlText w:val="%1)"/>
      <w:lvlJc w:val="left"/>
      <w:pPr>
        <w:ind w:left="838" w:hanging="360"/>
        <w:jc w:val="left"/>
      </w:pPr>
      <w:rPr>
        <w:rFonts w:ascii="Calibri-Light" w:eastAsia="Calibri-Light" w:hAnsi="Calibri-Light" w:cs="Calibri-Light" w:hint="default"/>
        <w:spacing w:val="-1"/>
        <w:w w:val="100"/>
        <w:sz w:val="24"/>
        <w:szCs w:val="24"/>
      </w:rPr>
    </w:lvl>
    <w:lvl w:ilvl="1" w:tplc="937EE2B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C3726CB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4266D1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006C83AC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83A9C0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216EED92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BFE8C246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93629EA4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DCE"/>
    <w:rsid w:val="003909F9"/>
    <w:rsid w:val="00420DCE"/>
    <w:rsid w:val="00825930"/>
    <w:rsid w:val="00C84CB4"/>
    <w:rsid w:val="00CB750B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7459439"/>
  <w15:docId w15:val="{3EC7A658-25B0-A54F-92AC-0331DE78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-Light" w:eastAsia="Calibri-Light" w:hAnsi="Calibri-Light" w:cs="Calibri-Light"/>
    </w:rPr>
  </w:style>
  <w:style w:type="paragraph" w:styleId="Overskrift1">
    <w:name w:val="heading 1"/>
    <w:basedOn w:val="Normal"/>
    <w:uiPriority w:val="9"/>
    <w:qFormat/>
    <w:pPr>
      <w:spacing w:before="20"/>
      <w:ind w:left="20" w:hanging="35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fsnit">
    <w:name w:val="List Paragraph"/>
    <w:basedOn w:val="Normal"/>
    <w:uiPriority w:val="1"/>
    <w:qFormat/>
    <w:pPr>
      <w:ind w:left="11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C84CB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4CB4"/>
    <w:rPr>
      <w:rFonts w:ascii="Calibri-Light" w:eastAsia="Calibri-Light" w:hAnsi="Calibri-Light" w:cs="Calibri-Light"/>
    </w:rPr>
  </w:style>
  <w:style w:type="paragraph" w:styleId="Sidefod">
    <w:name w:val="footer"/>
    <w:basedOn w:val="Normal"/>
    <w:link w:val="SidefodTegn"/>
    <w:uiPriority w:val="99"/>
    <w:unhideWhenUsed/>
    <w:rsid w:val="00C84CB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4CB4"/>
    <w:rPr>
      <w:rFonts w:ascii="Calibri-Light" w:eastAsia="Calibri-Light" w:hAnsi="Calibri-Light" w:cs="Calibri-Light"/>
    </w:rPr>
  </w:style>
  <w:style w:type="character" w:styleId="Hyperlink">
    <w:name w:val="Hyperlink"/>
    <w:basedOn w:val="Standardskrifttypeiafsnit"/>
    <w:uiPriority w:val="99"/>
    <w:unhideWhenUsed/>
    <w:rsid w:val="00CB750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acs.au.dk/facscorefacilityguidelin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facs.au.dk/facscorefacilityguidelin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legend.com/en-us/products/rainbow-calibration-particles--8-peaks-3-0-3-4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31237234" TargetMode="External"/><Relationship Id="rId10" Type="http://schemas.openxmlformats.org/officeDocument/2006/relationships/hyperlink" Target="http://www.spherotech.com/CalibrationParticle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cbi.nlm.nih.gov/pubmed/27731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 Skovbo</cp:lastModifiedBy>
  <cp:revision>4</cp:revision>
  <dcterms:created xsi:type="dcterms:W3CDTF">2021-07-13T12:33:00Z</dcterms:created>
  <dcterms:modified xsi:type="dcterms:W3CDTF">2021-07-13T12:40:00Z</dcterms:modified>
</cp:coreProperties>
</file>